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48" w:rsidRPr="00A5518E" w:rsidRDefault="00C01748" w:rsidP="00A5518E">
      <w:pPr>
        <w:pStyle w:val="Body"/>
        <w:spacing w:line="276" w:lineRule="auto"/>
        <w:rPr>
          <w:rFonts w:ascii="Times New Roman" w:hAnsi="Times New Roman"/>
          <w:i/>
          <w:noProof/>
          <w:sz w:val="24"/>
          <w:lang w:val="hr-HR" w:eastAsia="hr-HR"/>
        </w:rPr>
      </w:pPr>
      <w:bookmarkStart w:id="0" w:name="_GoBack"/>
      <w:bookmarkEnd w:id="0"/>
    </w:p>
    <w:p w:rsidR="00C01748" w:rsidRPr="00A5518E" w:rsidRDefault="00A6204A" w:rsidP="00A5518E">
      <w:pPr>
        <w:pStyle w:val="Body"/>
        <w:spacing w:line="276" w:lineRule="auto"/>
        <w:rPr>
          <w:rFonts w:ascii="Times New Roman" w:hAnsi="Times New Roman"/>
          <w:i/>
          <w:sz w:val="24"/>
          <w:lang w:val="hr-HR"/>
        </w:rPr>
      </w:pPr>
      <w:r w:rsidRPr="00A5518E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0" t="0" r="0" b="9525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748" w:rsidRPr="00A5518E">
        <w:rPr>
          <w:rFonts w:ascii="Times New Roman" w:hAnsi="Times New Roman"/>
          <w:i/>
          <w:noProof/>
          <w:sz w:val="24"/>
          <w:lang w:val="hr-HR" w:eastAsia="hr-HR"/>
        </w:rPr>
        <w:t>Ured za upravljanje kvalitetom</w:t>
      </w:r>
    </w:p>
    <w:p w:rsidR="00C01748" w:rsidRPr="00A5518E" w:rsidRDefault="00C01748" w:rsidP="00A5518E">
      <w:pPr>
        <w:spacing w:after="0"/>
        <w:ind w:left="1276"/>
        <w:rPr>
          <w:rFonts w:ascii="Times New Roman" w:hAnsi="Times New Roman"/>
          <w:sz w:val="24"/>
          <w:szCs w:val="24"/>
          <w:lang w:eastAsia="hr-HR"/>
        </w:rPr>
      </w:pPr>
    </w:p>
    <w:p w:rsidR="00C01748" w:rsidRPr="00A5518E" w:rsidRDefault="00C01748" w:rsidP="00A5518E">
      <w:pPr>
        <w:spacing w:after="0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GODIŠNJE IZVJEŠĆE O OSIGURAVANJU KVALITETE NA SASTAVNICI</w:t>
      </w:r>
      <w:r w:rsidRPr="00A5518E">
        <w:rPr>
          <w:rFonts w:ascii="Times New Roman" w:hAnsi="Times New Roman"/>
          <w:b/>
          <w:sz w:val="24"/>
          <w:szCs w:val="24"/>
        </w:rPr>
        <w:br/>
        <w:t>za akademsku godinu:</w:t>
      </w:r>
      <w:r w:rsidR="001E47EE" w:rsidRPr="00A5518E">
        <w:rPr>
          <w:rFonts w:ascii="Times New Roman" w:hAnsi="Times New Roman"/>
          <w:b/>
          <w:sz w:val="24"/>
          <w:szCs w:val="24"/>
        </w:rPr>
        <w:t xml:space="preserve"> 2016./2017</w:t>
      </w:r>
      <w:r w:rsidRPr="00A5518E">
        <w:rPr>
          <w:rFonts w:ascii="Times New Roman" w:hAnsi="Times New Roman"/>
          <w:b/>
          <w:sz w:val="24"/>
          <w:szCs w:val="24"/>
        </w:rPr>
        <w:t>.</w:t>
      </w: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Naziv sastavnice:</w:t>
      </w:r>
      <w:r w:rsidR="009C7772" w:rsidRPr="00A5518E">
        <w:rPr>
          <w:rFonts w:ascii="Times New Roman" w:hAnsi="Times New Roman"/>
          <w:b/>
          <w:sz w:val="24"/>
          <w:szCs w:val="24"/>
        </w:rPr>
        <w:t xml:space="preserve"> Farmaceutsko-biokemijski fakultet</w:t>
      </w: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9C7772" w:rsidRPr="00A5518E">
        <w:rPr>
          <w:rFonts w:ascii="Times New Roman" w:hAnsi="Times New Roman"/>
          <w:b/>
          <w:sz w:val="24"/>
          <w:szCs w:val="24"/>
        </w:rPr>
        <w:t xml:space="preserve"> Povjerenstvo za osiguravanje kvalitete</w:t>
      </w: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1748" w:rsidRPr="00A5518E" w:rsidRDefault="00A77D1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6237"/>
      </w:tblGrid>
      <w:tr w:rsidR="00C30228" w:rsidRPr="00A5518E" w:rsidTr="00260758">
        <w:tc>
          <w:tcPr>
            <w:tcW w:w="4928" w:type="dxa"/>
            <w:shd w:val="clear" w:color="auto" w:fill="DEEAF6"/>
            <w:vAlign w:val="center"/>
          </w:tcPr>
          <w:p w:rsidR="00C01748" w:rsidRPr="00A5518E" w:rsidRDefault="00C01748" w:rsidP="00A551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C01748" w:rsidRPr="00A5518E" w:rsidRDefault="00C01748" w:rsidP="00A551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Godina usvajanja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C01748" w:rsidRPr="00A5518E" w:rsidRDefault="00C01748" w:rsidP="00A551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 xml:space="preserve">web adresa sastavnice 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na kojoj su dokumenti objavljeni</w:t>
            </w:r>
          </w:p>
        </w:tc>
      </w:tr>
      <w:tr w:rsidR="00260758" w:rsidRPr="00A5518E" w:rsidTr="00260758">
        <w:tc>
          <w:tcPr>
            <w:tcW w:w="4928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4271">
              <w:rPr>
                <w:rFonts w:ascii="Times New Roman" w:hAnsi="Times New Roman"/>
                <w:i/>
                <w:sz w:val="24"/>
                <w:szCs w:val="24"/>
              </w:rPr>
              <w:t>Politika kvalitete</w:t>
            </w:r>
          </w:p>
        </w:tc>
        <w:tc>
          <w:tcPr>
            <w:tcW w:w="1417" w:type="dxa"/>
            <w:shd w:val="clear" w:color="auto" w:fill="auto"/>
          </w:tcPr>
          <w:p w:rsidR="00260758" w:rsidRPr="00D04271" w:rsidRDefault="00260758" w:rsidP="0026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237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http://www.pharma.unizg.hr/files/file/dokumenti/osiguranje-kvalitete/FBF-Politika-kvalitete-2014.pdf</w:t>
            </w:r>
          </w:p>
        </w:tc>
      </w:tr>
      <w:tr w:rsidR="00260758" w:rsidRPr="00A5518E" w:rsidTr="00260758">
        <w:tc>
          <w:tcPr>
            <w:tcW w:w="4928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4271">
              <w:rPr>
                <w:rFonts w:ascii="Times New Roman" w:hAnsi="Times New Roman"/>
                <w:i/>
                <w:sz w:val="24"/>
                <w:szCs w:val="24"/>
              </w:rPr>
              <w:t>Pravilnik o sustavu osiguravanja kvalitete</w:t>
            </w:r>
          </w:p>
        </w:tc>
        <w:tc>
          <w:tcPr>
            <w:tcW w:w="1417" w:type="dxa"/>
            <w:shd w:val="clear" w:color="auto" w:fill="auto"/>
          </w:tcPr>
          <w:p w:rsidR="00260758" w:rsidRPr="00D04271" w:rsidRDefault="00260758" w:rsidP="0026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http://www.pharma.unizg.hr/files/file/dokumenti/osiguranje-kvalitete/Pravilnik-o-sustavu-osiguravanja-kvalitete.pdf</w:t>
            </w:r>
          </w:p>
        </w:tc>
      </w:tr>
      <w:tr w:rsidR="00260758" w:rsidRPr="00A5518E" w:rsidTr="00260758">
        <w:tc>
          <w:tcPr>
            <w:tcW w:w="4928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04271">
              <w:rPr>
                <w:rFonts w:ascii="Times New Roman" w:hAnsi="Times New Roman"/>
                <w:i/>
                <w:sz w:val="24"/>
                <w:szCs w:val="24"/>
              </w:rPr>
              <w:t>Priručnik  za osiguravanje kvalitete</w:t>
            </w:r>
          </w:p>
        </w:tc>
        <w:tc>
          <w:tcPr>
            <w:tcW w:w="1417" w:type="dxa"/>
            <w:shd w:val="clear" w:color="auto" w:fill="auto"/>
          </w:tcPr>
          <w:p w:rsidR="00260758" w:rsidRPr="00D04271" w:rsidRDefault="00260758" w:rsidP="00266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37" w:type="dxa"/>
            <w:shd w:val="clear" w:color="auto" w:fill="auto"/>
          </w:tcPr>
          <w:p w:rsidR="00260758" w:rsidRPr="00D04271" w:rsidRDefault="00260758" w:rsidP="00266D2C">
            <w:pPr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http://www.pharma.unizg.hr/files/file/dokumenti/osiguranje-kvalitete/Prirucnik_za_osiguravanje_kvalitete_Sveu%C4%8Dili%C5%A1te-u-Zagrebu.pdf</w:t>
            </w:r>
          </w:p>
        </w:tc>
      </w:tr>
      <w:tr w:rsidR="00C30228" w:rsidRPr="00A5518E" w:rsidTr="00260758">
        <w:tc>
          <w:tcPr>
            <w:tcW w:w="4928" w:type="dxa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1748" w:rsidRPr="00A5518E" w:rsidRDefault="00C01748" w:rsidP="00A551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sz w:val="24"/>
          <w:szCs w:val="24"/>
        </w:rPr>
        <w:br w:type="page"/>
      </w:r>
      <w:r w:rsidRPr="00A5518E">
        <w:rPr>
          <w:rFonts w:ascii="Times New Roman" w:hAnsi="Times New Roman"/>
          <w:b/>
          <w:sz w:val="24"/>
          <w:szCs w:val="24"/>
        </w:rPr>
        <w:lastRenderedPageBreak/>
        <w:t xml:space="preserve">Pregled planiranih aktivnosti po područjima unutarnjeg osiguravanja kvalitete kojima se uspostavljaju standardi i ostvaruju ciljevi propisani gore navedenom dokumentacijom </w:t>
      </w:r>
      <w:r w:rsidRPr="00A5518E">
        <w:rPr>
          <w:rFonts w:ascii="Times New Roman" w:hAnsi="Times New Roman"/>
          <w:sz w:val="24"/>
          <w:szCs w:val="24"/>
        </w:rPr>
        <w:t>(po potrebi, dodajte redove)</w:t>
      </w:r>
      <w:r w:rsidRPr="00A5518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0"/>
        <w:gridCol w:w="2558"/>
        <w:gridCol w:w="5489"/>
        <w:gridCol w:w="4391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Politika i unaprjeđenja sustava kvalitete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</w:p>
        </w:tc>
      </w:tr>
      <w:tr w:rsidR="00C30228" w:rsidRPr="00A5518E" w:rsidTr="00A5518E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3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351D4" w:rsidRPr="00A5518E" w:rsidRDefault="00E351D4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Izmjena Pravilnika o napredovanju u znanstveno-nastavna zvanja</w:t>
            </w:r>
          </w:p>
        </w:tc>
        <w:tc>
          <w:tcPr>
            <w:tcW w:w="2133" w:type="pct"/>
            <w:shd w:val="clear" w:color="auto" w:fill="auto"/>
          </w:tcPr>
          <w:p w:rsidR="00E351D4" w:rsidRPr="00A5518E" w:rsidRDefault="009A4FFD" w:rsidP="00D042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Na 8. redovitoj sjednici Fakultetskog vijeća FBF-a u ak. god. 2016./2017. (17.5.2017.) i</w:t>
            </w:r>
            <w:r w:rsidR="00732796" w:rsidRPr="00A5518E">
              <w:rPr>
                <w:rFonts w:ascii="Times New Roman" w:hAnsi="Times New Roman"/>
                <w:sz w:val="24"/>
                <w:szCs w:val="24"/>
              </w:rPr>
              <w:t>menovan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a</w:t>
            </w:r>
            <w:r w:rsidR="00732796" w:rsidRPr="00A5518E">
              <w:rPr>
                <w:rFonts w:ascii="Times New Roman" w:hAnsi="Times New Roman"/>
                <w:sz w:val="24"/>
                <w:szCs w:val="24"/>
              </w:rPr>
              <w:t xml:space="preserve"> je Radna skupina za izradu 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prijedloga Pravilnika o uvjetima i postupku izbora u zvanja i na odgovarajuća radna mjesta te je izrada prijedloga Pravilnika u tijeku. Revizija pravilnika se predviđa za prvi kvartal 2018. godine.</w:t>
            </w:r>
          </w:p>
        </w:tc>
        <w:tc>
          <w:tcPr>
            <w:tcW w:w="1706" w:type="pct"/>
            <w:shd w:val="clear" w:color="auto" w:fill="auto"/>
          </w:tcPr>
          <w:p w:rsidR="00E351D4" w:rsidRPr="00A5518E" w:rsidRDefault="009A4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U izmjenu Pravilnika se nije odmah krenulo zbog želje za usklađenošćui novog Pravilnika s novim uvjetima Nacionalnog vijeća za znanost i novih uvjeta Rektorskog zbora. Međutim, kako navedeni Pravilnici do danas nisu zaživjeli, Uprava FBF-a je donijela odluku o izmjeni Postojećeg pravilnika FBF-a. </w:t>
            </w: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351D4" w:rsidRPr="00A5518E" w:rsidRDefault="00E351D4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Izrada  Strategije znanstvenih istraživanja</w:t>
            </w:r>
          </w:p>
        </w:tc>
        <w:tc>
          <w:tcPr>
            <w:tcW w:w="2133" w:type="pct"/>
            <w:shd w:val="clear" w:color="auto" w:fill="auto"/>
          </w:tcPr>
          <w:p w:rsidR="00E351D4" w:rsidRPr="00A5518E" w:rsidRDefault="009A4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Fakultetsko vijeće FBF-a na 1. redovitoj sjednici u ak. god. 2016./2017. (26.10.2016.) imenovalo je Radnu skupinu za izradu Strategije znanstvenih istraživanja Sveučilišta u Zagrebu Farmaceutsko-biokemijskog fakulteta</w:t>
            </w:r>
            <w:r w:rsidR="00732796" w:rsidRPr="00A5518E">
              <w:rPr>
                <w:rFonts w:ascii="Times New Roman" w:hAnsi="Times New Roman"/>
                <w:sz w:val="24"/>
                <w:szCs w:val="24"/>
              </w:rPr>
              <w:t>, rad na Strategiji znanstvenih istraživanja je u posljednjoj fazi.</w:t>
            </w:r>
          </w:p>
        </w:tc>
        <w:tc>
          <w:tcPr>
            <w:tcW w:w="1706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351D4" w:rsidRPr="00A5518E" w:rsidRDefault="00E351D4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Izrada nove Strategije razvoja FBF-a za razdoblje 2018.-2022</w:t>
            </w:r>
          </w:p>
        </w:tc>
        <w:tc>
          <w:tcPr>
            <w:tcW w:w="2133" w:type="pct"/>
            <w:shd w:val="clear" w:color="auto" w:fill="auto"/>
          </w:tcPr>
          <w:p w:rsidR="00E351D4" w:rsidRPr="00A5518E" w:rsidRDefault="009A4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Fakultetsko vijeće FBF-a na 2. redovitoj sjednici u ak. god. 2016./2017. (23.11.2016.) imenovalo je Radnu skupinu za izradu Strategije razvoja Sveučilišta u Zagrebu Farmaceutsko-biokemijskog fakulteta 2018.-2023. Rad na Strategiji razvoja FBF-a je u tijeku.</w:t>
            </w:r>
          </w:p>
        </w:tc>
        <w:tc>
          <w:tcPr>
            <w:tcW w:w="1706" w:type="pct"/>
            <w:shd w:val="clear" w:color="auto" w:fill="auto"/>
          </w:tcPr>
          <w:p w:rsidR="00E351D4" w:rsidRPr="00A5518E" w:rsidRDefault="009A4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Strategija znanstvenih istraživanja je integralni dio Strategije razvoja te se prvo pristupilo izradi Strategije znanstvenih istraživanja.</w:t>
            </w:r>
          </w:p>
        </w:tc>
      </w:tr>
      <w:tr w:rsidR="00E351D4" w:rsidRPr="00A5518E" w:rsidTr="00A5518E">
        <w:trPr>
          <w:cantSplit/>
          <w:trHeight w:val="1187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E351D4" w:rsidRPr="00A5518E" w:rsidRDefault="00E351D4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Kontinuirano praćenje provođenja aktivnosti prema strategiji FBF-a</w:t>
            </w:r>
          </w:p>
        </w:tc>
        <w:tc>
          <w:tcPr>
            <w:tcW w:w="2133" w:type="pct"/>
            <w:shd w:val="clear" w:color="auto" w:fill="auto"/>
          </w:tcPr>
          <w:p w:rsidR="00E351D4" w:rsidRPr="00A5518E" w:rsidRDefault="00E1604A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Kontinuirano su praćene aktivnosti</w:t>
            </w:r>
            <w:r w:rsidR="00A5518E" w:rsidRPr="00A5518E">
              <w:rPr>
                <w:rFonts w:ascii="Times New Roman" w:hAnsi="Times New Roman"/>
                <w:sz w:val="24"/>
                <w:szCs w:val="24"/>
              </w:rPr>
              <w:t xml:space="preserve"> i aktivnosti povezane s Akcijskim planom  za unaprijeđenje kvalitete za razdoblje 2016./2017.-2020./2021.</w:t>
            </w:r>
          </w:p>
        </w:tc>
        <w:tc>
          <w:tcPr>
            <w:tcW w:w="1706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917" w:rsidRPr="00A5518E" w:rsidRDefault="00962917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917" w:rsidRPr="00A5518E" w:rsidRDefault="00962917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1"/>
        <w:gridCol w:w="2918"/>
        <w:gridCol w:w="6660"/>
        <w:gridCol w:w="2859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Odobrenje, kontinuirano praćenje te periodično vrjednovanje i revizija studijskih programa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C30228" w:rsidRPr="00A5518E" w:rsidTr="00A5518E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Kontinuirano praćenje programa oba studija (Farmacije i Medicinske biokemije)</w:t>
            </w:r>
          </w:p>
        </w:tc>
        <w:tc>
          <w:tcPr>
            <w:tcW w:w="2588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Provedena je anketa za integrirane studije (Anketni upitnik za studentice i studente koji su završili integrirani preddiplomski i diplomski studij), te su analizirani rezultati ankete, koji će pomoći kod revizije studijskih programa Farmacije i Medicinske biokemije. 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Revizija studijskih programa za oba studija (Farmacije i Medicinske biokemije)</w:t>
            </w:r>
          </w:p>
        </w:tc>
        <w:tc>
          <w:tcPr>
            <w:tcW w:w="2588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Fakultetsko vijeće FBF-a na 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6.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 redovitoj sjednici u ak. god. 2016./2017. (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22.3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.201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7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 xml:space="preserve">.) imenovalo je Radnu skupinu za 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reviziju studijskih programa na integriranom preddiplomskom i diplomskom studiju Farmacije i integriranom preddiplomskom i diplomskom studiju Medicinske biokemije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 Predviđa se da će se revidirani program upisivati od ak. god. 2019./2020.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Provjeravanje ishoda učenja za pojedine kolegije u studijskim programima</w:t>
            </w:r>
          </w:p>
        </w:tc>
        <w:tc>
          <w:tcPr>
            <w:tcW w:w="2588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Ishodi učenja su provjereni od strane voditelja pojedinih kolegija te su po potrebi revidirani.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Priprema za uvođenje studija Farmacije na engleskom jeziku</w:t>
            </w:r>
          </w:p>
        </w:tc>
        <w:tc>
          <w:tcPr>
            <w:tcW w:w="2588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Fakultetsko vijeće FBF-a na 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6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 redovitoj sjednici u ak. god. 2016./2017. (2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2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3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.201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7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 xml:space="preserve">.) imenovalo je 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>Radnu skupinu za izradu plana provedbenih mjera za uvođenje studija farmacije na engleskom jeziku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. Predviđa se da će se studij Farmacije na engleskom jeziku upisivati od ak. god. 2020./2021.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Provođenje studentske ankete za procjenu kvalitete rada nastavnika</w:t>
            </w:r>
          </w:p>
        </w:tc>
        <w:tc>
          <w:tcPr>
            <w:tcW w:w="2588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Provedena je studentska anketa za procjenu kvalitete rada nastavnika. 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2"/>
        <w:gridCol w:w="3563"/>
        <w:gridCol w:w="5635"/>
        <w:gridCol w:w="3448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vrjednovanje studentskog rada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Kontinuirano unaprjeđivanje e-učenja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Poticani su nastavnici za uvođenje novih metoda i tehnika učenja u nastavni proces. 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Potrebno je uložiti dodatne napore u unaprjeđivanje e-uče</w:t>
            </w:r>
            <w:r w:rsidR="00E95F0C">
              <w:rPr>
                <w:rFonts w:ascii="Times New Roman" w:hAnsi="Times New Roman"/>
                <w:sz w:val="24"/>
                <w:szCs w:val="24"/>
              </w:rPr>
              <w:t>nja te vrednovati rad nastavnika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 xml:space="preserve"> u sklopu e-kolegija.</w:t>
            </w: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Izrada Protokola postupanja u slučaju podnošenja prigovora od strane studenata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Izražen je Protokol postupanja u skučaju podnošenja prigovora od strane nastavnika, te je razrađen sustav anonimnih prijava.</w:t>
            </w:r>
          </w:p>
          <w:p w:rsidR="00396AB1" w:rsidRPr="00A5518E" w:rsidRDefault="00396AB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Protokol je dostupan na poveznici: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 xml:space="preserve"> http://www.pharma.unizg.hr/files/file/Studiji/Smjernice-za-postupanje-u-slu%C4%8Daju-prigovora-na-rad-nastavnika-i-izvodjenje-nastave.pdf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A5518E" w:rsidRPr="00A5518E" w:rsidRDefault="00A5518E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30"/>
        <w:gridCol w:w="4095"/>
        <w:gridCol w:w="5484"/>
        <w:gridCol w:w="2859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C30228" w:rsidRPr="00A5518E" w:rsidTr="00A5518E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A5518E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Godišnje nagrađivanje i pohvale najboljim studentima sastavnice</w:t>
            </w:r>
          </w:p>
        </w:tc>
        <w:tc>
          <w:tcPr>
            <w:tcW w:w="2131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Najbolji studenti svake godine studija Farmacije i Medicinske biokemije nagrađeni su na svečanosti povodom 135. obljetnice Farmaceutsko-biokemijskog fakulteta 26.9.2017.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Praćenje napredovanja studenata kroz studij</w:t>
            </w:r>
          </w:p>
        </w:tc>
        <w:tc>
          <w:tcPr>
            <w:tcW w:w="2131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Napravljena je analiza broja upisanih studenata na svaku studijsku godinu, analiza položenih ispita i postignutog uspjeha.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A5518E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Evidentiranje izvannastavnih aktivnosti studenata u ISVU</w:t>
            </w:r>
          </w:p>
        </w:tc>
        <w:tc>
          <w:tcPr>
            <w:tcW w:w="2131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ISVU evidencija sudjelovanja studenata na ljetnim školama, seminarima, tečajevima i drugim izvannastavnih aktivnostima koje rezultiraju stjecajem određenih kompetencija i/ili razvojem vještina.</w:t>
            </w:r>
          </w:p>
        </w:tc>
        <w:tc>
          <w:tcPr>
            <w:tcW w:w="111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P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9"/>
        <w:gridCol w:w="4095"/>
        <w:gridCol w:w="4527"/>
        <w:gridCol w:w="3817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Planiranje zapošljavanja s obzirom na potrebe u nastavi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Povjerenstvo za opća i kadrovska pitanja kontinuirano analizira potrebe za zapošljavanjem.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Planiranje stručnog usavršavanja nastavnika i suradnika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Pojedini nastavnici upućeni su na specijalizacije u zdravstvu (klinička farmacija, medicinska biokemija)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Angažiranje vanjskih suradnika u nastavi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Analizirale su se potrebe za uključivanjem stručnjaka iz prakse u izvođenje dijela nastave iz stručnih kolegija u ak. god. 2016./2017., te su oni po potrebi uključivani u nastavu.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Pohađanje radionice za mentore koji planiraju preuzeti svoje prvo mentorstvo na doktorskom studiju ili su ga tek preuzeli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Nije ostvareno.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Sveučilište nije orgniziralo navedenu radionicu</w:t>
            </w: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P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2"/>
        <w:gridCol w:w="2719"/>
        <w:gridCol w:w="6902"/>
        <w:gridCol w:w="3025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 Znanstveno-istraživačka i umjetnička djelatnost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Informiranje djelatnika FBF-a o prijavljivanju znanstvenih projekata.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Djelatnici FBF-a su kontinuirano, usmenim i pismenim putem informirani o prijavljivanju znanstvenih projekata.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Prezentiranje doktorskih studija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D042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Organizira</w:t>
            </w:r>
            <w:r w:rsidR="00D04271">
              <w:rPr>
                <w:rFonts w:ascii="Times New Roman" w:hAnsi="Times New Roman"/>
                <w:sz w:val="24"/>
                <w:szCs w:val="24"/>
              </w:rPr>
              <w:t>na je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 xml:space="preserve"> prezentacija doktorskih studija Fakulteta svim zainteresiranim kandidatima.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Izmjena Pravilnika o nagradama i priznanjima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Napravljene su izmjene Pravilnika o nagradama i priznanjima.</w:t>
            </w:r>
          </w:p>
          <w:p w:rsidR="004B3891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Pravilnik je dostupan na poveznici:</w:t>
            </w:r>
            <w:r w:rsidR="00111C17" w:rsidRPr="00A5518E">
              <w:rPr>
                <w:rFonts w:ascii="Times New Roman" w:hAnsi="Times New Roman"/>
                <w:sz w:val="24"/>
                <w:szCs w:val="24"/>
              </w:rPr>
              <w:t xml:space="preserve"> http://www.pharma.unizg.hr/files/file/dokumenti/akti/2017/Pravilnik-o-nagradama-i-priznanjima-Sveucilista-u-Zagrebu-Farmaceutsko-biokemijskog-fakulteta.pdf</w:t>
            </w:r>
          </w:p>
          <w:p w:rsidR="00111C17" w:rsidRPr="00A5518E" w:rsidRDefault="00111C17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Dodjela priznanja uspješnim znanstvenicima sastavnice</w:t>
            </w:r>
          </w:p>
        </w:tc>
        <w:tc>
          <w:tcPr>
            <w:tcW w:w="1759" w:type="pct"/>
            <w:shd w:val="clear" w:color="auto" w:fill="auto"/>
          </w:tcPr>
          <w:p w:rsidR="00E351D4" w:rsidRPr="00A5518E" w:rsidRDefault="004B389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Najbolji znanstvenici FBF-a nagrađeni su na svečanosti povodom 135. obljetnice Farmaceutsko-biokemijskog fakulteta 26.9.2017.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518E" w:rsidRPr="00A5518E" w:rsidRDefault="00A5518E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2"/>
        <w:gridCol w:w="208"/>
        <w:gridCol w:w="2647"/>
        <w:gridCol w:w="1444"/>
        <w:gridCol w:w="4530"/>
        <w:gridCol w:w="1135"/>
        <w:gridCol w:w="2682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7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C30228" w:rsidRPr="00A5518E" w:rsidTr="00D04271">
        <w:trPr>
          <w:trHeight w:val="640"/>
          <w:tblHeader/>
        </w:trPr>
        <w:tc>
          <w:tcPr>
            <w:tcW w:w="86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762" w:type="pct"/>
            <w:gridSpan w:val="3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D04271">
        <w:trPr>
          <w:cantSplit/>
          <w:trHeight w:val="515"/>
        </w:trPr>
        <w:tc>
          <w:tcPr>
            <w:tcW w:w="86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Organizacija, provođenje i kontinuirano praćenje Stručnog osposobljavanja za ljekarnike (SO)</w:t>
            </w:r>
          </w:p>
        </w:tc>
        <w:tc>
          <w:tcPr>
            <w:tcW w:w="2762" w:type="pct"/>
            <w:gridSpan w:val="3"/>
            <w:shd w:val="clear" w:color="auto" w:fill="auto"/>
          </w:tcPr>
          <w:p w:rsidR="00920B41" w:rsidRPr="00A5518E" w:rsidRDefault="00920B41" w:rsidP="00D042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 xml:space="preserve">Centar za primjenjenu farmaciju </w:t>
            </w:r>
            <w:r w:rsidR="00D04271">
              <w:rPr>
                <w:rFonts w:ascii="Times New Roman" w:hAnsi="Times New Roman"/>
                <w:sz w:val="24"/>
                <w:szCs w:val="24"/>
              </w:rPr>
              <w:t>(CPF) o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rganizira i provodi stručno sposobljavanje za ljekarnike</w:t>
            </w:r>
            <w:r w:rsidR="00D042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prati kvalitet</w:t>
            </w:r>
            <w:r w:rsidR="00D04271">
              <w:rPr>
                <w:rFonts w:ascii="Times New Roman" w:hAnsi="Times New Roman"/>
                <w:sz w:val="24"/>
                <w:szCs w:val="24"/>
              </w:rPr>
              <w:t>u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, ishod</w:t>
            </w:r>
            <w:r w:rsidR="00D04271">
              <w:rPr>
                <w:rFonts w:ascii="Times New Roman" w:hAnsi="Times New Roman"/>
                <w:sz w:val="24"/>
                <w:szCs w:val="24"/>
              </w:rPr>
              <w:t>e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 xml:space="preserve"> učenja i stečene kompetencije. </w:t>
            </w:r>
            <w:r w:rsidR="00D04271">
              <w:rPr>
                <w:rFonts w:ascii="Times New Roman" w:hAnsi="Times New Roman"/>
                <w:sz w:val="24"/>
                <w:szCs w:val="24"/>
              </w:rPr>
              <w:t>O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pis provedenih aktivnosti</w:t>
            </w:r>
            <w:r w:rsidR="00D04271">
              <w:rPr>
                <w:rFonts w:ascii="Times New Roman" w:hAnsi="Times New Roman"/>
                <w:sz w:val="24"/>
                <w:szCs w:val="24"/>
              </w:rPr>
              <w:t xml:space="preserve"> dostupan je na poveznici</w:t>
            </w:r>
            <w:r w:rsidRPr="00A5518E">
              <w:rPr>
                <w:rFonts w:ascii="Times New Roman" w:hAnsi="Times New Roman"/>
                <w:sz w:val="24"/>
                <w:szCs w:val="24"/>
              </w:rPr>
              <w:t>: http://www.pharma.unizg.hr/files/file/dokumenti/AKTIVNOSTI-CPF-a.pdf</w:t>
            </w:r>
          </w:p>
        </w:tc>
        <w:tc>
          <w:tcPr>
            <w:tcW w:w="1042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D04271">
        <w:trPr>
          <w:cantSplit/>
          <w:trHeight w:val="515"/>
        </w:trPr>
        <w:tc>
          <w:tcPr>
            <w:tcW w:w="86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Evidencija stručne djelatnosti nastavnika na razini sastavnice</w:t>
            </w:r>
          </w:p>
        </w:tc>
        <w:tc>
          <w:tcPr>
            <w:tcW w:w="2762" w:type="pct"/>
            <w:gridSpan w:val="3"/>
            <w:shd w:val="clear" w:color="auto" w:fill="auto"/>
          </w:tcPr>
          <w:p w:rsidR="00E351D4" w:rsidRPr="00A5518E" w:rsidRDefault="00732796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Evidencija je napravljena, dostupna na linku:</w:t>
            </w:r>
          </w:p>
          <w:p w:rsidR="00732796" w:rsidRPr="00A5518E" w:rsidRDefault="00A16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2796" w:rsidRPr="00A551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http://www.pharma.unizg.hr/files/file/dokumenti/strucna-djelatnost-FBF-2016.pdf</w:t>
              </w:r>
            </w:hyperlink>
          </w:p>
        </w:tc>
        <w:tc>
          <w:tcPr>
            <w:tcW w:w="1042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D04271">
        <w:trPr>
          <w:cantSplit/>
          <w:trHeight w:val="500"/>
        </w:trPr>
        <w:tc>
          <w:tcPr>
            <w:tcW w:w="86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Evidencija savjetodavnih uloga nastavnika u međunarodnim, državnim, regionalnim te lokalnim ustanovama ili tijelima.</w:t>
            </w:r>
          </w:p>
        </w:tc>
        <w:tc>
          <w:tcPr>
            <w:tcW w:w="2762" w:type="pct"/>
            <w:gridSpan w:val="3"/>
            <w:shd w:val="clear" w:color="auto" w:fill="auto"/>
          </w:tcPr>
          <w:p w:rsidR="00E351D4" w:rsidRPr="00A5518E" w:rsidRDefault="00732796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Evidencija je napravljena, dostupna na linku:</w:t>
            </w:r>
          </w:p>
          <w:p w:rsidR="00732796" w:rsidRPr="00A5518E" w:rsidRDefault="00A16FFD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32796" w:rsidRPr="00A5518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http://www.pharma.unizg.hr/files/file/dokumenti/strucna-djelatnost-FBF-2016.pdf</w:t>
              </w:r>
            </w:hyperlink>
          </w:p>
        </w:tc>
        <w:tc>
          <w:tcPr>
            <w:tcW w:w="1042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D4" w:rsidRPr="00A5518E" w:rsidTr="00D04271">
        <w:trPr>
          <w:cantSplit/>
          <w:trHeight w:val="500"/>
        </w:trPr>
        <w:tc>
          <w:tcPr>
            <w:tcW w:w="86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Organizacija sastanaka/tribina s poslodavcima/stručnjacima iz gospodarstva</w:t>
            </w:r>
          </w:p>
        </w:tc>
        <w:tc>
          <w:tcPr>
            <w:tcW w:w="2762" w:type="pct"/>
            <w:gridSpan w:val="3"/>
            <w:shd w:val="clear" w:color="auto" w:fill="auto"/>
          </w:tcPr>
          <w:p w:rsidR="00E351D4" w:rsidRPr="00A5518E" w:rsidRDefault="00920B4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Organizirani su sastanci sa stručnjacima iz gospodarstva te je u planu prijavljivanje zajedničkih projekata.</w:t>
            </w:r>
          </w:p>
        </w:tc>
        <w:tc>
          <w:tcPr>
            <w:tcW w:w="1042" w:type="pct"/>
            <w:shd w:val="clear" w:color="auto" w:fill="auto"/>
          </w:tcPr>
          <w:p w:rsidR="00E351D4" w:rsidRPr="00A5518E" w:rsidRDefault="00920B4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Potrebno je organizirati stručni skup/tribinu kako bi se omogućilo bolje povezivanje akademije i industrije.</w:t>
            </w:r>
          </w:p>
        </w:tc>
      </w:tr>
      <w:tr w:rsidR="00E351D4" w:rsidRPr="00A5518E" w:rsidTr="00D04271">
        <w:trPr>
          <w:cantSplit/>
          <w:trHeight w:val="500"/>
        </w:trPr>
        <w:tc>
          <w:tcPr>
            <w:tcW w:w="86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Organizacija tečajeva za cjeloživotno usavršavanje</w:t>
            </w:r>
          </w:p>
        </w:tc>
        <w:tc>
          <w:tcPr>
            <w:tcW w:w="2762" w:type="pct"/>
            <w:gridSpan w:val="3"/>
            <w:shd w:val="clear" w:color="auto" w:fill="auto"/>
          </w:tcPr>
          <w:p w:rsidR="00D04271" w:rsidRDefault="00D04271" w:rsidP="00D042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Centar za primjenjenu farmaciju </w:t>
            </w:r>
            <w:r w:rsidR="00920B41" w:rsidRPr="00A5518E">
              <w:rPr>
                <w:rFonts w:ascii="Times New Roman" w:hAnsi="Times New Roman"/>
                <w:sz w:val="24"/>
                <w:szCs w:val="24"/>
              </w:rPr>
              <w:t xml:space="preserve">organizirao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="00920B41" w:rsidRPr="00A5518E">
              <w:rPr>
                <w:rFonts w:ascii="Times New Roman" w:hAnsi="Times New Roman"/>
                <w:sz w:val="24"/>
                <w:szCs w:val="24"/>
              </w:rPr>
              <w:t xml:space="preserve">tečaj za usavršavanje magistara farmacije Nutrijenti i zdravlje kože (13.5.2017.), te su članovi Centra sudjelovali u raznim oblicima trajnog usavršavanja za magistre farmacije.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20B41" w:rsidRPr="00A5518E">
              <w:rPr>
                <w:rFonts w:ascii="Times New Roman" w:hAnsi="Times New Roman"/>
                <w:sz w:val="24"/>
                <w:szCs w:val="24"/>
              </w:rPr>
              <w:t xml:space="preserve">pis aktivnosti dostupan je na poveznici: </w:t>
            </w:r>
            <w:hyperlink r:id="rId11" w:history="1">
              <w:r w:rsidRPr="002C7B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http://www.pharma.unizg.hr/files/file/dokumenti/AKTIVNOSTI-CPF-a.pdf</w:t>
              </w:r>
            </w:hyperlink>
          </w:p>
          <w:p w:rsidR="00D04271" w:rsidRPr="00A5518E" w:rsidRDefault="00D04271" w:rsidP="00D04271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7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 studentima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C30228" w:rsidRPr="00A5518E" w:rsidTr="00D04271">
        <w:trPr>
          <w:trHeight w:val="640"/>
          <w:tblHeader/>
        </w:trPr>
        <w:tc>
          <w:tcPr>
            <w:tcW w:w="167" w:type="pct"/>
            <w:gridSpan w:val="2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gridSpan w:val="2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D04271" w:rsidRPr="00A5518E" w:rsidTr="00D04271">
        <w:trPr>
          <w:cantSplit/>
          <w:trHeight w:val="515"/>
        </w:trPr>
        <w:tc>
          <w:tcPr>
            <w:tcW w:w="167" w:type="pct"/>
            <w:gridSpan w:val="2"/>
            <w:shd w:val="clear" w:color="auto" w:fill="auto"/>
          </w:tcPr>
          <w:p w:rsidR="00D04271" w:rsidRPr="00A5518E" w:rsidRDefault="00D04271" w:rsidP="00A5518E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:rsidR="00D04271" w:rsidRPr="00A5518E" w:rsidRDefault="00D04271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Podrška studentima lošijeg imovinskog statusa</w:t>
            </w:r>
          </w:p>
        </w:tc>
        <w:tc>
          <w:tcPr>
            <w:tcW w:w="1760" w:type="pct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Studentima se dopušta obročno plaćanje školarine, te upisivanje mirovanja studija temeljem odgovarajuće dokumentacije.</w:t>
            </w:r>
          </w:p>
        </w:tc>
        <w:tc>
          <w:tcPr>
            <w:tcW w:w="1483" w:type="pct"/>
            <w:gridSpan w:val="2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71" w:rsidRPr="00A5518E" w:rsidTr="00D04271">
        <w:trPr>
          <w:cantSplit/>
          <w:trHeight w:val="500"/>
        </w:trPr>
        <w:tc>
          <w:tcPr>
            <w:tcW w:w="167" w:type="pct"/>
            <w:gridSpan w:val="2"/>
            <w:shd w:val="clear" w:color="auto" w:fill="auto"/>
          </w:tcPr>
          <w:p w:rsidR="00D04271" w:rsidRPr="00A5518E" w:rsidRDefault="00D04271" w:rsidP="00A5518E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:rsidR="00D04271" w:rsidRPr="00A5518E" w:rsidRDefault="00D0427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Podrška studentima za nabavljanje zaštitne opreme</w:t>
            </w:r>
          </w:p>
        </w:tc>
        <w:tc>
          <w:tcPr>
            <w:tcW w:w="1760" w:type="pct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Studentima se daje dio zaštitne opreme (zaštitne naočale, kute)</w:t>
            </w:r>
          </w:p>
        </w:tc>
        <w:tc>
          <w:tcPr>
            <w:tcW w:w="1483" w:type="pct"/>
            <w:gridSpan w:val="2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71" w:rsidRPr="00A5518E" w:rsidTr="00D04271">
        <w:trPr>
          <w:cantSplit/>
          <w:trHeight w:val="500"/>
        </w:trPr>
        <w:tc>
          <w:tcPr>
            <w:tcW w:w="167" w:type="pct"/>
            <w:gridSpan w:val="2"/>
            <w:shd w:val="clear" w:color="auto" w:fill="auto"/>
          </w:tcPr>
          <w:p w:rsidR="00D04271" w:rsidRPr="00A5518E" w:rsidRDefault="00D04271" w:rsidP="00A5518E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pct"/>
            <w:gridSpan w:val="2"/>
            <w:shd w:val="clear" w:color="auto" w:fill="auto"/>
          </w:tcPr>
          <w:p w:rsidR="00D04271" w:rsidRPr="00A5518E" w:rsidRDefault="00D0427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Financijska podrška studentima doktorskog studija</w:t>
            </w:r>
          </w:p>
        </w:tc>
        <w:tc>
          <w:tcPr>
            <w:tcW w:w="1760" w:type="pct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Nije ostvareno.</w:t>
            </w:r>
          </w:p>
        </w:tc>
        <w:tc>
          <w:tcPr>
            <w:tcW w:w="1483" w:type="pct"/>
            <w:gridSpan w:val="2"/>
            <w:shd w:val="clear" w:color="auto" w:fill="auto"/>
          </w:tcPr>
          <w:p w:rsidR="00D04271" w:rsidRPr="00C66292" w:rsidRDefault="00D04271" w:rsidP="00CF0A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Zbog financijske neodrživosti, postojeća odluka o financiranju dijela znanstveno-istraživačkog rada doktoranda je ukinuta</w:t>
            </w: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9"/>
        <w:gridCol w:w="4095"/>
        <w:gridCol w:w="4527"/>
        <w:gridCol w:w="3817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t>Upravljanje informacijama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Analiza stečenih kompetencija za studente integriranog studija farmacije (5. godina)</w:t>
            </w:r>
          </w:p>
        </w:tc>
        <w:tc>
          <w:tcPr>
            <w:tcW w:w="1759" w:type="pct"/>
            <w:shd w:val="clear" w:color="auto" w:fill="auto"/>
          </w:tcPr>
          <w:p w:rsidR="00C01748" w:rsidRPr="00A5518E" w:rsidRDefault="008F2BA0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Ankete mentora-poslodavaca dale su  uvid u implementaciju staža u integrirani studij farmacije</w:t>
            </w:r>
          </w:p>
        </w:tc>
        <w:tc>
          <w:tcPr>
            <w:tcW w:w="1483" w:type="pct"/>
            <w:shd w:val="clear" w:color="auto" w:fill="auto"/>
          </w:tcPr>
          <w:p w:rsidR="00C01748" w:rsidRPr="00A5518E" w:rsidRDefault="00C0174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9"/>
        <w:gridCol w:w="4095"/>
        <w:gridCol w:w="4527"/>
        <w:gridCol w:w="3817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Javno objavljivanje informacija o studijima, studentima, aktivnostima na FBF-u i drugim aktualnim temama od interesa za struku</w:t>
            </w:r>
          </w:p>
        </w:tc>
        <w:tc>
          <w:tcPr>
            <w:tcW w:w="1759" w:type="pct"/>
            <w:shd w:val="clear" w:color="auto" w:fill="auto"/>
          </w:tcPr>
          <w:p w:rsidR="00C01748" w:rsidRPr="00A5518E" w:rsidRDefault="00732796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Provodi se kontinuirano, putem web-stranice FBF-a.</w:t>
            </w:r>
          </w:p>
        </w:tc>
        <w:tc>
          <w:tcPr>
            <w:tcW w:w="1483" w:type="pct"/>
            <w:shd w:val="clear" w:color="auto" w:fill="auto"/>
          </w:tcPr>
          <w:p w:rsidR="00C01748" w:rsidRPr="00A5518E" w:rsidRDefault="00C0174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Pr="00A5518E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9"/>
        <w:gridCol w:w="4095"/>
        <w:gridCol w:w="4527"/>
        <w:gridCol w:w="3817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D04271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D04271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2" w:history="1">
              <w:r w:rsidRPr="00D04271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D04271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D04271" w:rsidRDefault="00D04271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E351D4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E351D4" w:rsidRPr="00A5518E" w:rsidRDefault="00E351D4" w:rsidP="00A5518E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F23A3A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Poticati mobilnost studenata, nastavnog i nenastavn</w:t>
            </w:r>
          </w:p>
          <w:p w:rsidR="00E351D4" w:rsidRPr="000F68F7" w:rsidRDefault="00E351D4" w:rsidP="00A5518E">
            <w:pPr>
              <w:keepNext/>
              <w:keepLines/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og osoblja</w:t>
            </w:r>
          </w:p>
        </w:tc>
        <w:tc>
          <w:tcPr>
            <w:tcW w:w="1759" w:type="pct"/>
            <w:shd w:val="clear" w:color="auto" w:fill="auto"/>
          </w:tcPr>
          <w:p w:rsidR="00E351D4" w:rsidRPr="000F68F7" w:rsidRDefault="00A5518E" w:rsidP="00260758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Kontinuirano je poticana mobilnost studenata te je organiziran Mobility info dan za studnete.</w:t>
            </w:r>
          </w:p>
          <w:p w:rsidR="00A5518E" w:rsidRPr="000F68F7" w:rsidRDefault="00A5518E" w:rsidP="00260758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Kontinuirano je poticana mobilnost nastavnog i nenastavnog osoblja informiranjem o natječajima za mobilnost</w:t>
            </w:r>
            <w:r w:rsidR="008F2BA0" w:rsidRPr="000F68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BA0" w:rsidRPr="000F68F7" w:rsidRDefault="008F2BA0" w:rsidP="00260758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FBF je osigurao administrativnu pomoć kod prijavljivanja na natječaje.</w:t>
            </w:r>
          </w:p>
        </w:tc>
        <w:tc>
          <w:tcPr>
            <w:tcW w:w="1483" w:type="pct"/>
            <w:shd w:val="clear" w:color="auto" w:fill="auto"/>
          </w:tcPr>
          <w:p w:rsidR="00E351D4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58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260758" w:rsidRPr="00A5518E" w:rsidRDefault="00260758" w:rsidP="00A5518E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260758" w:rsidRPr="000F68F7" w:rsidRDefault="0026075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Osigurati pomoć dolaznim studentima</w:t>
            </w:r>
          </w:p>
        </w:tc>
        <w:tc>
          <w:tcPr>
            <w:tcW w:w="1759" w:type="pct"/>
            <w:shd w:val="clear" w:color="auto" w:fill="auto"/>
          </w:tcPr>
          <w:p w:rsidR="00260758" w:rsidRPr="000F68F7" w:rsidRDefault="00260758" w:rsidP="0026075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Dolaznim studentima ECTS koordinator osigurava svu potrebnu pomoć.</w:t>
            </w:r>
          </w:p>
        </w:tc>
        <w:tc>
          <w:tcPr>
            <w:tcW w:w="1483" w:type="pct"/>
            <w:shd w:val="clear" w:color="auto" w:fill="auto"/>
          </w:tcPr>
          <w:p w:rsidR="00260758" w:rsidRPr="00A5518E" w:rsidRDefault="0026075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58" w:rsidRPr="00A5518E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:rsidR="00260758" w:rsidRPr="00A5518E" w:rsidRDefault="00260758" w:rsidP="00A5518E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260758" w:rsidRPr="000F68F7" w:rsidRDefault="0026075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>Osigurati sustavnu evidenciju podataka o mobilnosti i međunarodnoj suradnji</w:t>
            </w:r>
          </w:p>
        </w:tc>
        <w:tc>
          <w:tcPr>
            <w:tcW w:w="1759" w:type="pct"/>
            <w:shd w:val="clear" w:color="auto" w:fill="auto"/>
          </w:tcPr>
          <w:p w:rsidR="00260758" w:rsidRPr="000F68F7" w:rsidRDefault="00260758" w:rsidP="00260758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 xml:space="preserve">Odlazna mobilnost nastavnika evidentira se u bazi Sveučilišta u Zagrebu. </w:t>
            </w:r>
          </w:p>
          <w:p w:rsidR="00260758" w:rsidRPr="000F68F7" w:rsidRDefault="00260758" w:rsidP="00260758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0F68F7">
              <w:rPr>
                <w:rFonts w:ascii="Times New Roman" w:hAnsi="Times New Roman"/>
                <w:sz w:val="24"/>
                <w:szCs w:val="24"/>
              </w:rPr>
              <w:t xml:space="preserve">Napravljena je </w:t>
            </w:r>
            <w:r w:rsidRPr="000F6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evidencija boravaka i odlazaka studenata koji su realizirani djelovanjem njihovih udruga u razdoblju od zadnjeg postupka reakreditacije, te će ECTS imati uvid u te podatke.</w:t>
            </w:r>
          </w:p>
          <w:p w:rsidR="00260758" w:rsidRPr="000F68F7" w:rsidRDefault="00260758" w:rsidP="00260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Napravljena je intera baza odlaznih studenata (Erasmus+ mobilnost) čije ažuriranje kontrolira ECTS koordinator.</w:t>
            </w:r>
          </w:p>
        </w:tc>
        <w:tc>
          <w:tcPr>
            <w:tcW w:w="1483" w:type="pct"/>
            <w:shd w:val="clear" w:color="auto" w:fill="auto"/>
          </w:tcPr>
          <w:p w:rsidR="00260758" w:rsidRPr="00A5518E" w:rsidRDefault="0026075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4271" w:rsidRPr="00A5518E" w:rsidRDefault="00D04271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11"/>
        <w:gridCol w:w="4076"/>
        <w:gridCol w:w="4582"/>
        <w:gridCol w:w="3799"/>
      </w:tblGrid>
      <w:tr w:rsidR="00C30228" w:rsidRPr="00A5518E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Periodička vanjska vrjednovanja</w:t>
            </w:r>
            <w:r w:rsidRPr="00A5518E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C30228" w:rsidRPr="00A5518E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C01748" w:rsidRPr="00A5518E" w:rsidRDefault="00C01748" w:rsidP="00A55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C30228" w:rsidRPr="00A5518E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:rsidR="00C01748" w:rsidRPr="00A5518E" w:rsidRDefault="00C01748" w:rsidP="00A5518E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C01748" w:rsidRPr="00A5518E" w:rsidRDefault="00E351D4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8E">
              <w:rPr>
                <w:rFonts w:ascii="Times New Roman" w:hAnsi="Times New Roman"/>
                <w:sz w:val="24"/>
                <w:szCs w:val="24"/>
              </w:rPr>
              <w:t>Reakreditacija doktorskog studija</w:t>
            </w:r>
          </w:p>
        </w:tc>
        <w:tc>
          <w:tcPr>
            <w:tcW w:w="1759" w:type="pct"/>
            <w:shd w:val="clear" w:color="auto" w:fill="auto"/>
          </w:tcPr>
          <w:p w:rsidR="00C01748" w:rsidRPr="00D04271" w:rsidRDefault="00732796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 xml:space="preserve">Postupak reakreditacije je uspješno proveden. Doktorski studij dobio je ocjenu Visoke razine </w:t>
            </w:r>
            <w:r w:rsidR="00ED76EB" w:rsidRPr="00D04271">
              <w:rPr>
                <w:rFonts w:ascii="Times New Roman" w:hAnsi="Times New Roman"/>
                <w:sz w:val="24"/>
                <w:szCs w:val="24"/>
              </w:rPr>
              <w:t>kvalitete.</w:t>
            </w:r>
          </w:p>
          <w:p w:rsidR="008E2AEB" w:rsidRPr="00D04271" w:rsidRDefault="008E2AEB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Detaljan izvještaj je dostupan na poveznici:</w:t>
            </w:r>
          </w:p>
          <w:p w:rsidR="00D04271" w:rsidRPr="00D04271" w:rsidRDefault="00D04271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71">
              <w:rPr>
                <w:rFonts w:ascii="Times New Roman" w:hAnsi="Times New Roman"/>
                <w:sz w:val="24"/>
                <w:szCs w:val="24"/>
              </w:rPr>
              <w:t>http://www.pharma.unizg.hr/hr/osiguravanje-kvalitete/vrednovanje-doktorskog-studija/</w:t>
            </w:r>
          </w:p>
          <w:p w:rsidR="008E2AEB" w:rsidRPr="00D04271" w:rsidRDefault="008E2AEB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:rsidR="00C01748" w:rsidRPr="00A5518E" w:rsidRDefault="00C01748" w:rsidP="00A5518E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keepNext/>
        <w:keepLine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Članovi Povjerenstva za upravljanje kvalitetom sastavnice:</w:t>
      </w:r>
    </w:p>
    <w:p w:rsidR="008E2AEB" w:rsidRPr="00A5518E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A5518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doc. dr. sc. Miranda Sertić, predsjednica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doc. dr. sc. Mirela Matić, zamjenica predsjednice 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izv. prof. dr. sc. Zrinka Rajić Džolić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dr. sc. Anita Somborac Bačura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dr. sc. Biserka Cetina-Čižmek, znanstvena savjetnica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Ante Kisić, dip. ing. rač., voditelj Jedinice za informatičku potporu </w:t>
      </w:r>
    </w:p>
    <w:p w:rsidR="008E2AEB" w:rsidRPr="008E2AEB" w:rsidRDefault="008E2AEB" w:rsidP="00A5518E">
      <w:pPr>
        <w:numPr>
          <w:ilvl w:val="0"/>
          <w:numId w:val="14"/>
        </w:numPr>
        <w:spacing w:before="100" w:beforeAutospacing="1"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A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Tea Sinožić, student</w:t>
      </w:r>
      <w:r w:rsidRPr="00A5518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ica</w:t>
      </w:r>
    </w:p>
    <w:p w:rsidR="00C01748" w:rsidRPr="00A5518E" w:rsidRDefault="00C01748" w:rsidP="00A55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2AEB" w:rsidRPr="00A5518E" w:rsidRDefault="00C01748" w:rsidP="00A5518E">
      <w:pPr>
        <w:tabs>
          <w:tab w:val="left" w:pos="228"/>
          <w:tab w:val="right" w:pos="8788"/>
        </w:tabs>
        <w:spacing w:after="0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Mjesto i datum i</w:t>
      </w:r>
      <w:r w:rsidR="008E2AEB" w:rsidRPr="00A5518E">
        <w:rPr>
          <w:rFonts w:ascii="Times New Roman" w:hAnsi="Times New Roman"/>
          <w:b/>
          <w:sz w:val="24"/>
          <w:szCs w:val="24"/>
        </w:rPr>
        <w:t>spunjavanja godišnjeg izvješća: 6.12.2017.</w:t>
      </w:r>
    </w:p>
    <w:p w:rsidR="008E2AEB" w:rsidRPr="00A5518E" w:rsidRDefault="008E2AEB" w:rsidP="00A5518E">
      <w:pPr>
        <w:tabs>
          <w:tab w:val="left" w:pos="228"/>
          <w:tab w:val="right" w:pos="87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01748" w:rsidRPr="00A5518E" w:rsidRDefault="00C01748" w:rsidP="00A5518E">
      <w:pPr>
        <w:tabs>
          <w:tab w:val="left" w:pos="228"/>
          <w:tab w:val="right" w:pos="8788"/>
        </w:tabs>
        <w:spacing w:after="0"/>
        <w:rPr>
          <w:rFonts w:ascii="Times New Roman" w:hAnsi="Times New Roman"/>
          <w:b/>
          <w:sz w:val="24"/>
          <w:szCs w:val="24"/>
        </w:rPr>
      </w:pPr>
      <w:r w:rsidRPr="00A5518E">
        <w:rPr>
          <w:rFonts w:ascii="Times New Roman" w:hAnsi="Times New Roman"/>
          <w:b/>
          <w:sz w:val="24"/>
          <w:szCs w:val="24"/>
        </w:rPr>
        <w:t>Izvješće pripremila:</w:t>
      </w:r>
      <w:r w:rsidR="008E2AEB" w:rsidRPr="00A5518E">
        <w:rPr>
          <w:rFonts w:ascii="Times New Roman" w:hAnsi="Times New Roman"/>
          <w:b/>
          <w:sz w:val="24"/>
          <w:szCs w:val="24"/>
        </w:rPr>
        <w:t xml:space="preserve"> izv. prof. dr. sc. Zrinka Rajić Džolić, prodekanica za kvalitetu i poslijediplomske specijalističke studije</w:t>
      </w:r>
    </w:p>
    <w:p w:rsidR="008E2AEB" w:rsidRPr="00A5518E" w:rsidRDefault="008E2AEB" w:rsidP="00A5518E">
      <w:pPr>
        <w:tabs>
          <w:tab w:val="left" w:pos="228"/>
          <w:tab w:val="right" w:pos="87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D4FC0" w:rsidRPr="00A5518E" w:rsidRDefault="007D4FC0" w:rsidP="00A5518E">
      <w:pPr>
        <w:spacing w:after="0"/>
        <w:rPr>
          <w:rFonts w:ascii="Times New Roman" w:hAnsi="Times New Roman"/>
          <w:sz w:val="24"/>
          <w:szCs w:val="24"/>
        </w:rPr>
      </w:pPr>
    </w:p>
    <w:sectPr w:rsidR="007D4FC0" w:rsidRPr="00A5518E" w:rsidSect="00D04271">
      <w:footerReference w:type="default" r:id="rId13"/>
      <w:pgSz w:w="16838" w:h="11906" w:orient="landscape"/>
      <w:pgMar w:top="810" w:right="2880" w:bottom="72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FD" w:rsidRDefault="00A16FFD" w:rsidP="00A77D18">
      <w:pPr>
        <w:spacing w:after="0" w:line="240" w:lineRule="auto"/>
      </w:pPr>
      <w:r>
        <w:separator/>
      </w:r>
    </w:p>
  </w:endnote>
  <w:endnote w:type="continuationSeparator" w:id="0">
    <w:p w:rsidR="00A16FFD" w:rsidRDefault="00A16FFD" w:rsidP="00A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C0" w:rsidRDefault="003149B0" w:rsidP="007D4FC0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57728" behindDoc="0" locked="0" layoutInCell="1" allowOverlap="1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" strokeweight=".25pt">
              <v:shadow opacity="22938f" offset="0"/>
            </v:line>
          </w:pict>
        </mc:Fallback>
      </mc:AlternateContent>
    </w:r>
  </w:p>
  <w:p w:rsidR="007D4FC0" w:rsidRDefault="007D4FC0" w:rsidP="007D4FC0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Sveu</w:t>
    </w:r>
    <w:r>
      <w:rPr>
        <w:rFonts w:ascii="UniZgLight" w:hAnsi="UniZgLight" w:cs="Times New Roman"/>
        <w:color w:val="auto"/>
        <w:sz w:val="16"/>
        <w:szCs w:val="16"/>
      </w:rPr>
      <w:t>č</w:t>
    </w:r>
    <w:r>
      <w:rPr>
        <w:rFonts w:ascii="UniZgLight" w:hAnsi="UniZgLight" w:cs="UniZgLight"/>
        <w:color w:val="auto"/>
        <w:sz w:val="16"/>
        <w:szCs w:val="16"/>
      </w:rPr>
      <w:t>ilište u Zagrebu, p.p. 407, Trg maršala Tita 14, HR-10000 Zagreb</w:t>
    </w:r>
  </w:p>
  <w:p w:rsidR="001E47EE" w:rsidRDefault="007D4FC0" w:rsidP="001E47EE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  <w:r w:rsidR="001E47EE">
      <w:rPr>
        <w:rFonts w:ascii="UniZgLight" w:hAnsi="UniZgLight" w:cs="UniZgLight"/>
        <w:color w:val="auto"/>
        <w:sz w:val="16"/>
        <w:szCs w:val="16"/>
      </w:rPr>
      <w:t>, 4698 186</w:t>
    </w:r>
  </w:p>
  <w:p w:rsidR="007D4FC0" w:rsidRDefault="007D4FC0" w:rsidP="007D4FC0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>e-mail: urkva@unizg.hr; url.: www.unizg.hr</w:t>
    </w:r>
  </w:p>
  <w:p w:rsidR="007D4FC0" w:rsidRPr="00C66292" w:rsidRDefault="00B04169" w:rsidP="007D4FC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C66292">
      <w:rPr>
        <w:color w:val="323E4F"/>
        <w:sz w:val="24"/>
        <w:szCs w:val="24"/>
      </w:rPr>
      <w:fldChar w:fldCharType="begin"/>
    </w:r>
    <w:r w:rsidR="007D4FC0" w:rsidRPr="00C66292">
      <w:rPr>
        <w:color w:val="323E4F"/>
        <w:sz w:val="24"/>
        <w:szCs w:val="24"/>
      </w:rPr>
      <w:instrText xml:space="preserve"> PAGE   \* MERGEFORMAT </w:instrText>
    </w:r>
    <w:r w:rsidRPr="00C66292">
      <w:rPr>
        <w:color w:val="323E4F"/>
        <w:sz w:val="24"/>
        <w:szCs w:val="24"/>
      </w:rPr>
      <w:fldChar w:fldCharType="separate"/>
    </w:r>
    <w:r w:rsidR="003149B0">
      <w:rPr>
        <w:noProof/>
        <w:color w:val="323E4F"/>
        <w:sz w:val="24"/>
        <w:szCs w:val="24"/>
      </w:rPr>
      <w:t>1</w:t>
    </w:r>
    <w:r w:rsidRPr="00C66292">
      <w:rPr>
        <w:color w:val="323E4F"/>
        <w:sz w:val="24"/>
        <w:szCs w:val="24"/>
      </w:rPr>
      <w:fldChar w:fldCharType="end"/>
    </w:r>
    <w:r w:rsidR="007D4FC0" w:rsidRPr="00C66292">
      <w:rPr>
        <w:color w:val="323E4F"/>
        <w:sz w:val="24"/>
        <w:szCs w:val="24"/>
      </w:rPr>
      <w:t xml:space="preserve"> | </w:t>
    </w:r>
    <w:r w:rsidR="00A16FFD">
      <w:fldChar w:fldCharType="begin"/>
    </w:r>
    <w:r w:rsidR="00A16FFD">
      <w:instrText xml:space="preserve"> NUMPAGES  \* Arabic  \* MERGEFORMAT </w:instrText>
    </w:r>
    <w:r w:rsidR="00A16FFD">
      <w:fldChar w:fldCharType="separate"/>
    </w:r>
    <w:r w:rsidR="003149B0" w:rsidRPr="003149B0">
      <w:rPr>
        <w:noProof/>
        <w:color w:val="323E4F"/>
        <w:sz w:val="24"/>
        <w:szCs w:val="24"/>
      </w:rPr>
      <w:t>12</w:t>
    </w:r>
    <w:r w:rsidR="00A16FFD">
      <w:rPr>
        <w:noProof/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FD" w:rsidRDefault="00A16FFD" w:rsidP="00A77D18">
      <w:pPr>
        <w:spacing w:after="0" w:line="240" w:lineRule="auto"/>
      </w:pPr>
      <w:r>
        <w:separator/>
      </w:r>
    </w:p>
  </w:footnote>
  <w:footnote w:type="continuationSeparator" w:id="0">
    <w:p w:rsidR="00A16FFD" w:rsidRDefault="00A16FFD" w:rsidP="00A7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C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CA6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2D3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66C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548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199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57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3A84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6202"/>
    <w:multiLevelType w:val="multilevel"/>
    <w:tmpl w:val="622A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95BC9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1AE9"/>
    <w:multiLevelType w:val="hybridMultilevel"/>
    <w:tmpl w:val="C35A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F4B5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B0FC7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48"/>
    <w:rsid w:val="000368AB"/>
    <w:rsid w:val="000419A7"/>
    <w:rsid w:val="00047F81"/>
    <w:rsid w:val="000809E5"/>
    <w:rsid w:val="000C5265"/>
    <w:rsid w:val="000F68F7"/>
    <w:rsid w:val="00111C17"/>
    <w:rsid w:val="0014137B"/>
    <w:rsid w:val="001C4CE9"/>
    <w:rsid w:val="001E47EE"/>
    <w:rsid w:val="00260758"/>
    <w:rsid w:val="00273F9D"/>
    <w:rsid w:val="00290287"/>
    <w:rsid w:val="0029643C"/>
    <w:rsid w:val="003149B0"/>
    <w:rsid w:val="00396AB1"/>
    <w:rsid w:val="003E155C"/>
    <w:rsid w:val="00412499"/>
    <w:rsid w:val="00460ACD"/>
    <w:rsid w:val="004B3891"/>
    <w:rsid w:val="00537E18"/>
    <w:rsid w:val="005C0B76"/>
    <w:rsid w:val="005E025C"/>
    <w:rsid w:val="005F3D18"/>
    <w:rsid w:val="00627FDF"/>
    <w:rsid w:val="006E5DF8"/>
    <w:rsid w:val="00712900"/>
    <w:rsid w:val="007242DD"/>
    <w:rsid w:val="00732796"/>
    <w:rsid w:val="007A141A"/>
    <w:rsid w:val="007D4FC0"/>
    <w:rsid w:val="00814804"/>
    <w:rsid w:val="00816925"/>
    <w:rsid w:val="008201B1"/>
    <w:rsid w:val="0082733B"/>
    <w:rsid w:val="008E2AEB"/>
    <w:rsid w:val="008F2BA0"/>
    <w:rsid w:val="008F2FF6"/>
    <w:rsid w:val="00920B41"/>
    <w:rsid w:val="00922E43"/>
    <w:rsid w:val="00943B5B"/>
    <w:rsid w:val="00962917"/>
    <w:rsid w:val="009A4FFD"/>
    <w:rsid w:val="009A6A79"/>
    <w:rsid w:val="009C7772"/>
    <w:rsid w:val="00A16FFD"/>
    <w:rsid w:val="00A5518E"/>
    <w:rsid w:val="00A6204A"/>
    <w:rsid w:val="00A77D18"/>
    <w:rsid w:val="00B04169"/>
    <w:rsid w:val="00B12C9B"/>
    <w:rsid w:val="00B53440"/>
    <w:rsid w:val="00B56E12"/>
    <w:rsid w:val="00B749DB"/>
    <w:rsid w:val="00B74BE8"/>
    <w:rsid w:val="00BD4827"/>
    <w:rsid w:val="00C01748"/>
    <w:rsid w:val="00C30228"/>
    <w:rsid w:val="00C66292"/>
    <w:rsid w:val="00CB6B35"/>
    <w:rsid w:val="00CE6F84"/>
    <w:rsid w:val="00D04271"/>
    <w:rsid w:val="00D04A34"/>
    <w:rsid w:val="00DC0F82"/>
    <w:rsid w:val="00E04E8A"/>
    <w:rsid w:val="00E1604A"/>
    <w:rsid w:val="00E351D4"/>
    <w:rsid w:val="00E95F0C"/>
    <w:rsid w:val="00ED76EB"/>
    <w:rsid w:val="00F23A3A"/>
    <w:rsid w:val="00F51BBD"/>
    <w:rsid w:val="00FE49DB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C01748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BasicParagraph">
    <w:name w:val="[Basic Paragraph]"/>
    <w:basedOn w:val="Normal"/>
    <w:locked/>
    <w:rsid w:val="00C017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0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748"/>
    <w:pPr>
      <w:ind w:left="720"/>
      <w:contextualSpacing/>
    </w:pPr>
  </w:style>
  <w:style w:type="table" w:styleId="TableGrid">
    <w:name w:val="Table Grid"/>
    <w:basedOn w:val="TableNormal"/>
    <w:uiPriority w:val="59"/>
    <w:rsid w:val="00C0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D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77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77D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5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1D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1D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C01748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BasicParagraph">
    <w:name w:val="[Basic Paragraph]"/>
    <w:basedOn w:val="Normal"/>
    <w:locked/>
    <w:rsid w:val="00C017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0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748"/>
    <w:pPr>
      <w:ind w:left="720"/>
      <w:contextualSpacing/>
    </w:pPr>
  </w:style>
  <w:style w:type="table" w:styleId="TableGrid">
    <w:name w:val="Table Grid"/>
    <w:basedOn w:val="TableNormal"/>
    <w:uiPriority w:val="59"/>
    <w:rsid w:val="00C0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D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77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77D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5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1D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1D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arma.unizg.hr/files/file/dokumenti/AKTIVNOSTI-CPF-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arma.unizg.hr/files/file/dokumenti/strucna-djelatnost-FBF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.unizg.hr/files/file/dokumenti/strucna-djelatnost-FBF-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1988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13300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http://www.unizg.hr/fileadmin/rektorat/Studiji_studiranje/Studiji/Kvaliteta/Upravljanje_kvalitetom/Politika_kvalitete.pdf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Gojšić</dc:creator>
  <cp:lastModifiedBy>Miranda Sertic</cp:lastModifiedBy>
  <cp:revision>2</cp:revision>
  <cp:lastPrinted>2017-12-20T11:05:00Z</cp:lastPrinted>
  <dcterms:created xsi:type="dcterms:W3CDTF">2018-02-19T12:09:00Z</dcterms:created>
  <dcterms:modified xsi:type="dcterms:W3CDTF">2018-02-19T12:09:00Z</dcterms:modified>
</cp:coreProperties>
</file>